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12448" w:rsidRPr="00F12448">
        <w:rPr>
          <w:sz w:val="28"/>
        </w:rPr>
        <w:t>Heizkosten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12448" w:rsidTr="00F12448">
        <w:tc>
          <w:tcPr>
            <w:tcW w:w="2466" w:type="dxa"/>
            <w:vAlign w:val="center"/>
          </w:tcPr>
          <w:p w:rsidR="00F12448" w:rsidRPr="00013049" w:rsidRDefault="00F12448" w:rsidP="005C2F82">
            <w:pPr>
              <w:pStyle w:val="IQB-Merkmal"/>
              <w:rPr>
                <w:sz w:val="22"/>
              </w:rPr>
            </w:pPr>
            <w:r w:rsidRPr="00013049">
              <w:rPr>
                <w:sz w:val="22"/>
              </w:rPr>
              <w:t>Leitidee</w:t>
            </w:r>
          </w:p>
        </w:tc>
        <w:tc>
          <w:tcPr>
            <w:tcW w:w="6604" w:type="dxa"/>
          </w:tcPr>
          <w:p w:rsidR="00F12448" w:rsidRPr="00013049" w:rsidRDefault="00F12448" w:rsidP="005C2F82">
            <w:pPr>
              <w:pStyle w:val="IQB-Merkmalswert"/>
              <w:rPr>
                <w:sz w:val="22"/>
                <w:szCs w:val="22"/>
              </w:rPr>
            </w:pPr>
            <w:r w:rsidRPr="00013049">
              <w:rPr>
                <w:sz w:val="22"/>
                <w:szCs w:val="22"/>
              </w:rPr>
              <w:t>Zahl (L1)</w:t>
            </w:r>
          </w:p>
        </w:tc>
      </w:tr>
      <w:tr w:rsidR="00F12448" w:rsidTr="00F12448">
        <w:tc>
          <w:tcPr>
            <w:tcW w:w="2466" w:type="dxa"/>
            <w:vAlign w:val="center"/>
          </w:tcPr>
          <w:p w:rsidR="00F12448" w:rsidRPr="00013049" w:rsidRDefault="00F12448"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F12448" w:rsidRDefault="00F12448" w:rsidP="005C2F82">
            <w:pPr>
              <w:pStyle w:val="IQB-Merkmalswert"/>
              <w:rPr>
                <w:sz w:val="22"/>
                <w:szCs w:val="22"/>
              </w:rPr>
            </w:pPr>
            <w:r>
              <w:rPr>
                <w:sz w:val="22"/>
                <w:szCs w:val="22"/>
              </w:rPr>
              <w:t>Mathematisch modellieren (K3)</w:t>
            </w:r>
          </w:p>
          <w:p w:rsidR="00F12448" w:rsidRPr="00013049" w:rsidRDefault="00F12448" w:rsidP="005C2F82">
            <w:pPr>
              <w:pStyle w:val="IQB-Merkmalswert"/>
              <w:rPr>
                <w:sz w:val="22"/>
                <w:szCs w:val="22"/>
              </w:rPr>
            </w:pPr>
            <w:r w:rsidRPr="00013049">
              <w:rPr>
                <w:sz w:val="22"/>
                <w:szCs w:val="22"/>
              </w:rPr>
              <w:t>Mit symbolischen, formalen und technischen Elementen der M</w:t>
            </w:r>
            <w:r w:rsidRPr="00013049">
              <w:rPr>
                <w:sz w:val="22"/>
                <w:szCs w:val="22"/>
              </w:rPr>
              <w:t>a</w:t>
            </w:r>
            <w:r w:rsidRPr="00013049">
              <w:rPr>
                <w:sz w:val="22"/>
                <w:szCs w:val="22"/>
              </w:rPr>
              <w:t>thematik umgehen (K5)</w:t>
            </w:r>
          </w:p>
        </w:tc>
      </w:tr>
      <w:tr w:rsidR="00F12448" w:rsidTr="00F12448">
        <w:trPr>
          <w:trHeight w:val="72"/>
        </w:trPr>
        <w:tc>
          <w:tcPr>
            <w:tcW w:w="2466" w:type="dxa"/>
            <w:vAlign w:val="center"/>
          </w:tcPr>
          <w:p w:rsidR="00F12448" w:rsidRPr="00013049" w:rsidRDefault="00F12448" w:rsidP="005C2F82">
            <w:pPr>
              <w:pStyle w:val="IQB-Merkmal"/>
              <w:rPr>
                <w:sz w:val="22"/>
              </w:rPr>
            </w:pPr>
            <w:r w:rsidRPr="00013049">
              <w:rPr>
                <w:sz w:val="22"/>
              </w:rPr>
              <w:t>Anforderungsbereich</w:t>
            </w:r>
          </w:p>
        </w:tc>
        <w:tc>
          <w:tcPr>
            <w:tcW w:w="6604" w:type="dxa"/>
          </w:tcPr>
          <w:p w:rsidR="00F12448" w:rsidRPr="00013049" w:rsidRDefault="00F12448" w:rsidP="005C2F82">
            <w:pPr>
              <w:pStyle w:val="IQB-Merkmalswert"/>
              <w:rPr>
                <w:sz w:val="22"/>
                <w:szCs w:val="22"/>
              </w:rPr>
            </w:pPr>
            <w:r w:rsidRPr="00013049">
              <w:rPr>
                <w:sz w:val="22"/>
                <w:szCs w:val="22"/>
              </w:rPr>
              <w:t>II</w:t>
            </w:r>
          </w:p>
        </w:tc>
      </w:tr>
      <w:tr w:rsidR="00F12448" w:rsidTr="00F12448">
        <w:tc>
          <w:tcPr>
            <w:tcW w:w="2466" w:type="dxa"/>
            <w:vAlign w:val="center"/>
          </w:tcPr>
          <w:p w:rsidR="00F12448" w:rsidRPr="00013049" w:rsidRDefault="00F12448" w:rsidP="005C2F82">
            <w:pPr>
              <w:pStyle w:val="IQB-Merkmal"/>
              <w:rPr>
                <w:sz w:val="22"/>
              </w:rPr>
            </w:pPr>
            <w:r w:rsidRPr="00013049">
              <w:rPr>
                <w:sz w:val="22"/>
              </w:rPr>
              <w:t>Kompetenzstufe</w:t>
            </w:r>
          </w:p>
        </w:tc>
        <w:tc>
          <w:tcPr>
            <w:tcW w:w="6604" w:type="dxa"/>
          </w:tcPr>
          <w:p w:rsidR="00F12448" w:rsidRPr="00013049" w:rsidRDefault="00F12448" w:rsidP="005C2F82">
            <w:pPr>
              <w:pStyle w:val="IQB-Merkmalswert"/>
              <w:rPr>
                <w:sz w:val="22"/>
                <w:szCs w:val="22"/>
              </w:rPr>
            </w:pPr>
            <w:r w:rsidRPr="00013049">
              <w:rPr>
                <w:sz w:val="22"/>
                <w:szCs w:val="22"/>
              </w:rPr>
              <w:t>5</w:t>
            </w:r>
          </w:p>
        </w:tc>
      </w:tr>
    </w:tbl>
    <w:p w:rsidR="00694A63" w:rsidRPr="00694A63" w:rsidRDefault="00694A63" w:rsidP="00694A63">
      <w:pPr>
        <w:pStyle w:val="IQB-Teilaufgabentitel"/>
        <w:rPr>
          <w:b/>
        </w:rPr>
      </w:pPr>
      <w:r w:rsidRPr="00694A63">
        <w:rPr>
          <w:b/>
        </w:rPr>
        <w:t>Aufgabenbezogener Kommentar</w:t>
      </w:r>
    </w:p>
    <w:p w:rsidR="00F12448" w:rsidRPr="00F12448" w:rsidRDefault="00F12448" w:rsidP="00F12448">
      <w:pPr>
        <w:jc w:val="both"/>
        <w:rPr>
          <w:rFonts w:ascii="Arial" w:hAnsi="Arial"/>
          <w:sz w:val="22"/>
          <w:szCs w:val="22"/>
        </w:rPr>
      </w:pPr>
      <w:r w:rsidRPr="00F12448">
        <w:rPr>
          <w:rFonts w:ascii="Arial" w:hAnsi="Arial"/>
          <w:sz w:val="22"/>
          <w:szCs w:val="22"/>
        </w:rPr>
        <w:t xml:space="preserve">In der Aufgabe „Heizkosten“ werden Anteile in Form von Prozentsätzen betrachtet. Somit gehört diese Aufgabe zur Leitidee </w:t>
      </w:r>
      <w:r w:rsidRPr="00F12448">
        <w:rPr>
          <w:rFonts w:ascii="Arial" w:hAnsi="Arial"/>
          <w:i/>
          <w:sz w:val="22"/>
          <w:szCs w:val="22"/>
        </w:rPr>
        <w:t>Zahl </w:t>
      </w:r>
      <w:r w:rsidRPr="00F12448">
        <w:rPr>
          <w:rFonts w:ascii="Arial" w:hAnsi="Arial"/>
          <w:sz w:val="22"/>
          <w:szCs w:val="22"/>
        </w:rPr>
        <w:t>(L1).</w:t>
      </w:r>
    </w:p>
    <w:p w:rsidR="00F12448" w:rsidRPr="00F12448" w:rsidRDefault="00F12448" w:rsidP="00F12448">
      <w:pPr>
        <w:jc w:val="both"/>
        <w:rPr>
          <w:rFonts w:ascii="Arial" w:hAnsi="Arial"/>
          <w:sz w:val="22"/>
          <w:szCs w:val="22"/>
        </w:rPr>
      </w:pPr>
    </w:p>
    <w:p w:rsidR="00F12448" w:rsidRPr="00F12448" w:rsidRDefault="00F12448" w:rsidP="00F12448">
      <w:pPr>
        <w:jc w:val="both"/>
        <w:rPr>
          <w:rFonts w:ascii="Arial" w:hAnsi="Arial"/>
          <w:sz w:val="22"/>
          <w:szCs w:val="22"/>
        </w:rPr>
      </w:pPr>
      <w:r w:rsidRPr="00F12448">
        <w:rPr>
          <w:rFonts w:ascii="Arial" w:hAnsi="Arial"/>
          <w:sz w:val="22"/>
          <w:szCs w:val="22"/>
        </w:rPr>
        <w:t xml:space="preserve">Zur Lösung der Aufgabe dient das Standardmodell der Prozentrechnung bestehend aus Grundwert, Prozentsatz und Prozentwert. Daher erfordert die Aufgabe „Heizkosten“ die Kompetenz </w:t>
      </w:r>
      <w:r w:rsidRPr="00F12448">
        <w:rPr>
          <w:rFonts w:ascii="Arial" w:hAnsi="Arial"/>
          <w:i/>
          <w:sz w:val="22"/>
          <w:szCs w:val="22"/>
        </w:rPr>
        <w:t>Mathematisch modellieren</w:t>
      </w:r>
      <w:r w:rsidRPr="00F12448">
        <w:rPr>
          <w:rFonts w:ascii="Arial" w:hAnsi="Arial"/>
          <w:sz w:val="22"/>
          <w:szCs w:val="22"/>
        </w:rPr>
        <w:t xml:space="preserve"> (K3). Außerdem ist die Kompetenz </w:t>
      </w:r>
      <w:r w:rsidRPr="00F12448">
        <w:rPr>
          <w:rFonts w:ascii="Arial" w:hAnsi="Arial"/>
          <w:i/>
          <w:sz w:val="22"/>
          <w:szCs w:val="22"/>
        </w:rPr>
        <w:t>Mit symbolischen, formalen und technischen Elementen der Mathematik umzugehen</w:t>
      </w:r>
      <w:r w:rsidRPr="00F12448">
        <w:rPr>
          <w:rFonts w:ascii="Arial" w:hAnsi="Arial"/>
          <w:sz w:val="22"/>
          <w:szCs w:val="22"/>
        </w:rPr>
        <w:t> (K5) erforderlich, da Schülerinnen und Schüler hier eine Formel oder ein Rechenverfahren zur Berechnung eines Prozentsatzes anwenden müssen.</w:t>
      </w:r>
    </w:p>
    <w:p w:rsidR="00F12448" w:rsidRPr="00F12448" w:rsidRDefault="00F12448" w:rsidP="00F12448">
      <w:pPr>
        <w:jc w:val="both"/>
        <w:rPr>
          <w:rFonts w:ascii="Arial" w:hAnsi="Arial"/>
          <w:sz w:val="22"/>
          <w:szCs w:val="22"/>
        </w:rPr>
      </w:pPr>
    </w:p>
    <w:p w:rsidR="00F12448" w:rsidRPr="00F12448" w:rsidRDefault="00F12448" w:rsidP="00F12448">
      <w:pPr>
        <w:jc w:val="both"/>
        <w:rPr>
          <w:rFonts w:ascii="Arial" w:hAnsi="Arial"/>
          <w:sz w:val="22"/>
          <w:szCs w:val="22"/>
        </w:rPr>
      </w:pPr>
      <w:r w:rsidRPr="00F12448">
        <w:rPr>
          <w:rFonts w:ascii="Arial" w:hAnsi="Arial"/>
          <w:sz w:val="22"/>
          <w:szCs w:val="22"/>
        </w:rPr>
        <w:t xml:space="preserve">In der Aufgabe „Heizkosten“ wird ein zweistufiger Modellierungsprozess beschrieben. Daher gehört diese Aufgabe zum Anforderungsbereich II. </w:t>
      </w:r>
    </w:p>
    <w:p w:rsidR="00694A63" w:rsidRPr="00694A63" w:rsidRDefault="00694A63" w:rsidP="00694A63">
      <w:pPr>
        <w:pStyle w:val="IQB-Teilaufgabentitel"/>
        <w:rPr>
          <w:b/>
        </w:rPr>
      </w:pPr>
      <w:r w:rsidRPr="00694A63">
        <w:rPr>
          <w:b/>
        </w:rPr>
        <w:t>Anregungen für den Unterricht</w:t>
      </w:r>
    </w:p>
    <w:p w:rsidR="00F12448" w:rsidRPr="00F12448" w:rsidRDefault="00F12448" w:rsidP="00F12448">
      <w:pPr>
        <w:jc w:val="both"/>
        <w:rPr>
          <w:rFonts w:ascii="Arial" w:hAnsi="Arial"/>
          <w:sz w:val="22"/>
          <w:szCs w:val="22"/>
        </w:rPr>
      </w:pPr>
      <w:r w:rsidRPr="00F12448">
        <w:rPr>
          <w:rFonts w:ascii="Arial" w:hAnsi="Arial"/>
          <w:sz w:val="22"/>
          <w:szCs w:val="22"/>
        </w:rPr>
        <w:t>Die falschen Ankreuzmöglichkeiten spiegeln typische Schülerfehler und Fehlvorstellungen wider. Die Ankreuzmöglichkeit „12</w:t>
      </w:r>
      <w:r w:rsidRPr="00F12448">
        <w:rPr>
          <w:rFonts w:ascii="Arial" w:hAnsi="Arial"/>
          <w:w w:val="50"/>
          <w:sz w:val="22"/>
          <w:szCs w:val="22"/>
        </w:rPr>
        <w:t> </w:t>
      </w:r>
      <w:r w:rsidRPr="00F12448">
        <w:rPr>
          <w:rFonts w:ascii="Arial" w:hAnsi="Arial"/>
          <w:sz w:val="22"/>
          <w:szCs w:val="22"/>
        </w:rPr>
        <w:t xml:space="preserve">%“ weist darauf hin, dass die Rechnung </w:t>
      </w:r>
      <w:r w:rsidRPr="00F12448">
        <w:rPr>
          <w:rFonts w:ascii="Arial" w:hAnsi="Arial"/>
          <w:position w:val="-6"/>
          <w:sz w:val="22"/>
          <w:szCs w:val="22"/>
        </w:rPr>
        <w:object w:dxaOrig="10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54.2pt;height:13.55pt" o:ole="">
            <v:imagedata r:id="rId8" o:title=""/>
          </v:shape>
          <o:OLEObject Type="Embed" ProgID="Equation.DSMT4" ShapeID="_x0000_i1108" DrawAspect="Content" ObjectID="_1814856034" r:id="rId9"/>
        </w:object>
      </w:r>
      <w:r w:rsidRPr="00F12448">
        <w:rPr>
          <w:rFonts w:ascii="Arial" w:hAnsi="Arial"/>
          <w:sz w:val="22"/>
          <w:szCs w:val="22"/>
        </w:rPr>
        <w:t xml:space="preserve"> ausgeführt worden ist. Dadurch würde jedoch ein neuer Grundwert nicht abermals reduziert, sondern der Prozentsatz 40 um 70</w:t>
      </w:r>
      <w:r w:rsidRPr="00F12448">
        <w:rPr>
          <w:rFonts w:ascii="Arial" w:hAnsi="Arial"/>
          <w:w w:val="50"/>
          <w:sz w:val="22"/>
          <w:szCs w:val="22"/>
        </w:rPr>
        <w:t> </w:t>
      </w:r>
      <w:r w:rsidRPr="00F12448">
        <w:rPr>
          <w:rFonts w:ascii="Arial" w:hAnsi="Arial"/>
          <w:sz w:val="22"/>
          <w:szCs w:val="22"/>
        </w:rPr>
        <w:t>% verringert. Die Ankreuzmöglichkeit „70</w:t>
      </w:r>
      <w:r w:rsidRPr="00F12448">
        <w:rPr>
          <w:rFonts w:ascii="Arial" w:hAnsi="Arial"/>
          <w:w w:val="50"/>
          <w:sz w:val="22"/>
          <w:szCs w:val="22"/>
        </w:rPr>
        <w:t> </w:t>
      </w:r>
      <w:r w:rsidRPr="00F12448">
        <w:rPr>
          <w:rFonts w:ascii="Arial" w:hAnsi="Arial"/>
          <w:sz w:val="22"/>
          <w:szCs w:val="22"/>
        </w:rPr>
        <w:t>%“ weist darauf hin, dass lediglich die beiden genannten Prozentsätze addiert werden. Da sich hier die beiden Prozentsätze auf unterschiedliche Grundwerte beziehen, ist eine bloße Addition der Prozentsätze nicht zulässig. Die Ankreuzmöglichkeit „42</w:t>
      </w:r>
      <w:r w:rsidRPr="00F12448">
        <w:rPr>
          <w:rFonts w:ascii="Arial" w:hAnsi="Arial"/>
          <w:w w:val="50"/>
          <w:sz w:val="22"/>
          <w:szCs w:val="22"/>
        </w:rPr>
        <w:t> </w:t>
      </w:r>
      <w:r w:rsidRPr="00F12448">
        <w:rPr>
          <w:rFonts w:ascii="Arial" w:hAnsi="Arial"/>
          <w:sz w:val="22"/>
          <w:szCs w:val="22"/>
        </w:rPr>
        <w:t>%“ weist auf den typischen Fehler hin, nicht wie gefordert den Anteil, der insgesamt reduziert werden kann, zu bestimmen, sondern die übrig gebliebenen Energiekosten als Anteil anzugeben.</w:t>
      </w:r>
    </w:p>
    <w:p w:rsidR="00F12448" w:rsidRPr="00F12448" w:rsidRDefault="00F12448" w:rsidP="00F12448">
      <w:pPr>
        <w:jc w:val="both"/>
        <w:rPr>
          <w:rFonts w:ascii="Arial" w:hAnsi="Arial"/>
          <w:sz w:val="22"/>
          <w:szCs w:val="22"/>
        </w:rPr>
      </w:pPr>
    </w:p>
    <w:p w:rsidR="00F12448" w:rsidRPr="00F12448" w:rsidRDefault="00F12448" w:rsidP="00F12448">
      <w:pPr>
        <w:jc w:val="both"/>
        <w:rPr>
          <w:rFonts w:ascii="Arial" w:hAnsi="Arial"/>
          <w:sz w:val="22"/>
          <w:szCs w:val="22"/>
        </w:rPr>
      </w:pPr>
      <w:r w:rsidRPr="00F12448">
        <w:rPr>
          <w:rFonts w:ascii="Arial" w:hAnsi="Arial"/>
          <w:sz w:val="22"/>
          <w:szCs w:val="22"/>
        </w:rPr>
        <w:t>Die Schwierigkeiten, die mit der Lösung der Aufgabe „Heizkosten“ verbunden sind, liegen in der vermutlich ungewohnten Aufgabenstellung begründet. Sie geht über die üblichen Grundaufgaben der Prozentrechnung hinaus. In dieser Aufgabe werden lediglich Prozentsätze betrachtet. Der Grundwert „Heizkosten“ ist nicht gegeben und wird in etwaigen Rechnungen mit 1 oder 100</w:t>
      </w:r>
      <w:r w:rsidRPr="00F12448">
        <w:rPr>
          <w:rFonts w:ascii="Arial" w:hAnsi="Arial"/>
          <w:w w:val="50"/>
          <w:sz w:val="22"/>
          <w:szCs w:val="22"/>
        </w:rPr>
        <w:t> </w:t>
      </w:r>
      <w:r w:rsidRPr="00F12448">
        <w:rPr>
          <w:rFonts w:ascii="Arial" w:hAnsi="Arial"/>
          <w:sz w:val="22"/>
          <w:szCs w:val="22"/>
        </w:rPr>
        <w:t xml:space="preserve">% beschrieben. Weiterhin handelt es sich um einen zweistufigen Prozess. Es muss bedacht werden, dass sich der nicht näher erläuterte Grundwert ändert und sich die beiden Prozentsätze auf unterschiedliche Grundwerte beziehen. Schülerinnen und Schüler können in diesem Fall nicht einfach auf eine einheitliche Formel zur Prozentrechnung (z. B. </w:t>
      </w:r>
      <w:r w:rsidRPr="00F12448">
        <w:rPr>
          <w:rFonts w:ascii="Arial" w:hAnsi="Arial"/>
          <w:position w:val="-22"/>
          <w:sz w:val="22"/>
          <w:szCs w:val="22"/>
        </w:rPr>
        <w:object w:dxaOrig="1219" w:dyaOrig="580">
          <v:shape id="_x0000_i1109" type="#_x0000_t75" style="width:60.6pt;height:28.5pt" o:ole="">
            <v:imagedata r:id="rId10" o:title=""/>
          </v:shape>
          <o:OLEObject Type="Embed" ProgID="Equation.DSMT4" ShapeID="_x0000_i1109" DrawAspect="Content" ObjectID="_1814856035" r:id="rId11"/>
        </w:object>
      </w:r>
      <w:r w:rsidRPr="00F12448">
        <w:rPr>
          <w:rFonts w:ascii="Arial" w:hAnsi="Arial"/>
          <w:sz w:val="22"/>
          <w:szCs w:val="22"/>
        </w:rPr>
        <w:t>) zurückgreifen, sondern müssen diese, sofern sie sie verwenden wollen, situationsgerecht einsetzen.</w:t>
      </w:r>
    </w:p>
    <w:p w:rsidR="00F12448" w:rsidRPr="00F12448" w:rsidRDefault="00F12448" w:rsidP="00F12448">
      <w:pPr>
        <w:rPr>
          <w:rFonts w:ascii="Arial" w:hAnsi="Arial"/>
          <w:sz w:val="18"/>
        </w:rPr>
      </w:pPr>
    </w:p>
    <w:p w:rsidR="00F12448" w:rsidRPr="00F12448" w:rsidRDefault="00F12448" w:rsidP="00F12448">
      <w:pPr>
        <w:jc w:val="both"/>
        <w:rPr>
          <w:rFonts w:ascii="Arial" w:hAnsi="Arial"/>
          <w:sz w:val="22"/>
          <w:szCs w:val="22"/>
        </w:rPr>
      </w:pPr>
      <w:r w:rsidRPr="00F12448">
        <w:rPr>
          <w:rFonts w:ascii="Arial" w:hAnsi="Arial"/>
          <w:sz w:val="22"/>
          <w:szCs w:val="22"/>
        </w:rPr>
        <w:t xml:space="preserve">Damit dies gelingt oder auch ein impliziter Zugang zur Prozentrechnung hier zum Erfolg führt, müssen Schülerinnen und Schüler genügend konzeptuelles und prozedurales Wissen zur Prozentrechnung ausgebildet haben. Hierfür bieten sich verschiedene Ansätze zur Einführung in die Prozentrechnung an. Einige dieser Ansätze werden im Folgenden kurz vorgestellt und hinsichtlich ihrer didaktischen Vor- und Nachteile diskutiert. </w:t>
      </w:r>
    </w:p>
    <w:p w:rsidR="00F12448" w:rsidRPr="00F12448" w:rsidRDefault="00F12448" w:rsidP="00F12448">
      <w:pPr>
        <w:jc w:val="both"/>
        <w:rPr>
          <w:rFonts w:ascii="Arial" w:hAnsi="Arial"/>
          <w:b/>
          <w:sz w:val="22"/>
          <w:szCs w:val="22"/>
        </w:rPr>
      </w:pPr>
    </w:p>
    <w:p w:rsidR="00F12448" w:rsidRPr="00F12448" w:rsidRDefault="00F12448" w:rsidP="00F12448">
      <w:pPr>
        <w:jc w:val="both"/>
        <w:rPr>
          <w:rFonts w:ascii="Arial" w:hAnsi="Arial"/>
          <w:sz w:val="22"/>
          <w:szCs w:val="22"/>
        </w:rPr>
      </w:pPr>
      <w:r w:rsidRPr="00F12448">
        <w:rPr>
          <w:rFonts w:ascii="Arial" w:hAnsi="Arial"/>
          <w:b/>
          <w:sz w:val="22"/>
          <w:szCs w:val="22"/>
        </w:rPr>
        <w:t>Grundwert, Prozentsatz und Prozentwert</w:t>
      </w:r>
      <w:r w:rsidRPr="00F12448">
        <w:rPr>
          <w:rFonts w:ascii="Arial" w:hAnsi="Arial"/>
          <w:sz w:val="22"/>
          <w:szCs w:val="22"/>
        </w:rPr>
        <w:t xml:space="preserve">: Bereits angeklungen ist die explizite Einführung in die Prozentrechnung mittels der drei wesentlichen Begriffe. Zusätzlich können noch die Begriffe </w:t>
      </w:r>
      <w:r w:rsidRPr="00F12448">
        <w:rPr>
          <w:rFonts w:ascii="Arial" w:hAnsi="Arial"/>
          <w:sz w:val="22"/>
          <w:szCs w:val="22"/>
        </w:rPr>
        <w:lastRenderedPageBreak/>
        <w:t>Prozentoperator (</w:t>
      </w:r>
      <w:r w:rsidRPr="00F12448">
        <w:rPr>
          <w:rFonts w:ascii="Arial" w:hAnsi="Arial"/>
          <w:position w:val="-22"/>
          <w:sz w:val="22"/>
          <w:szCs w:val="22"/>
        </w:rPr>
        <w:object w:dxaOrig="460" w:dyaOrig="580">
          <v:shape id="_x0000_i1110" type="#_x0000_t75" style="width:22.8pt;height:28.5pt" o:ole="">
            <v:imagedata r:id="rId12" o:title=""/>
          </v:shape>
          <o:OLEObject Type="Embed" ProgID="Equation.DSMT4" ShapeID="_x0000_i1110" DrawAspect="Content" ObjectID="_1814856036" r:id="rId13"/>
        </w:object>
      </w:r>
      <w:r w:rsidRPr="00F12448">
        <w:rPr>
          <w:rFonts w:ascii="Arial" w:hAnsi="Arial"/>
          <w:sz w:val="22"/>
          <w:szCs w:val="22"/>
        </w:rPr>
        <w:t xml:space="preserve">) und Zinssatz eingeführt werden. Aus mathematischer Sicht kann der Begriff Zinssatz äquivalent zum Begriff Prozentsatz verwendet werden. Er stellt lediglich einen auf eine besondere Sachsituation bezogenen Prozentsatz dar. Im Kontext Zinsen tritt zuweilen die Schwierigkeit auf, zwischen Prozentsatz und Prozentwert sauber unterscheiden zu können. Z. B. wenn die umgangssprachlich formulierte Frage gestellt wird, wie hoch bestimmte Zinsen sind. Unklar bleibt in dieser Formulierung, ob damit ein Geldbetrag (Prozentwert) oder eine Prozentangabe (Prozentsatz) gemeint ist. Dieselbe Situation kann bei umgangssprachlichen Formulierungen zu Prozentsätzen und -werten ebenfalls auftreten. Z. B. wenn gesagt wird, dass man in einem Geschäft „Prozente erhält“. Der Prozentoperator ist als Sprachregelung hilfreich, wenn man eine einheitliche Formel zur Prozentrechnung einführen möchte (z. B. </w:t>
      </w:r>
      <w:r w:rsidRPr="00F12448">
        <w:rPr>
          <w:rFonts w:ascii="Arial" w:hAnsi="Arial"/>
          <w:position w:val="-22"/>
          <w:sz w:val="22"/>
          <w:szCs w:val="22"/>
        </w:rPr>
        <w:object w:dxaOrig="1219" w:dyaOrig="580">
          <v:shape id="_x0000_i1111" type="#_x0000_t75" style="width:60.6pt;height:28.5pt" o:ole="">
            <v:imagedata r:id="rId14" o:title=""/>
          </v:shape>
          <o:OLEObject Type="Embed" ProgID="Equation.DSMT4" ShapeID="_x0000_i1111" DrawAspect="Content" ObjectID="_1814856037" r:id="rId15"/>
        </w:object>
      </w:r>
      <w:r w:rsidRPr="00F12448">
        <w:rPr>
          <w:rFonts w:ascii="Arial" w:hAnsi="Arial"/>
          <w:sz w:val="22"/>
          <w:szCs w:val="22"/>
        </w:rPr>
        <w:t xml:space="preserve">). Die Schülerinnen und Schüler müssen dann zur Bearbeitung unterschiedlicher Aufgaben die Gleichung umstellen und somit auf algebraische Fähigkeiten (aus der Leitidee </w:t>
      </w:r>
      <w:r w:rsidRPr="00F12448">
        <w:rPr>
          <w:rFonts w:ascii="Arial" w:hAnsi="Arial"/>
          <w:i/>
          <w:sz w:val="22"/>
          <w:szCs w:val="22"/>
        </w:rPr>
        <w:t>funktionale Zusammenhänge</w:t>
      </w:r>
      <w:r w:rsidRPr="00F12448">
        <w:rPr>
          <w:rFonts w:ascii="Arial" w:hAnsi="Arial"/>
          <w:sz w:val="22"/>
          <w:szCs w:val="22"/>
        </w:rPr>
        <w:t> (L4)) zurückgreifen. Diese Anknüpfung an algebraische Inhalte kann aus didaktischer Sicht durchaus sinnvoll sein. Ebenso mag die bewusste Verwendung von festen Begriffen dabei helfen sich in komplexen Sachsituationen und Texten zu orientieren. Demgegenüber stehen jedoch große Nachteile. Die alleinige Verwendung der Begriffe und einer allgemeinen Formel führt dazu, dass fast zwangsläufig schriftlich gerechnet werden muss. Die nötigen Umformungen der einheitlichen Formel verhindern oder erschweren es, dass Schülerinnen und Schüler durch Kopfrechnungen schnell zu Ergebnissen gelangen. Ebenso sind Rundungen und Überschläge mit diesem Ansatz nur schwer zu motivieren.</w:t>
      </w:r>
    </w:p>
    <w:p w:rsidR="00F12448" w:rsidRPr="00F12448" w:rsidRDefault="00F12448" w:rsidP="00F12448">
      <w:pPr>
        <w:rPr>
          <w:rFonts w:ascii="Arial" w:hAnsi="Arial"/>
          <w:sz w:val="18"/>
        </w:rPr>
      </w:pPr>
    </w:p>
    <w:p w:rsidR="00F12448" w:rsidRPr="00F12448" w:rsidRDefault="00F12448" w:rsidP="00F12448">
      <w:pPr>
        <w:jc w:val="both"/>
        <w:rPr>
          <w:rFonts w:ascii="Arial" w:hAnsi="Arial"/>
          <w:sz w:val="22"/>
          <w:szCs w:val="22"/>
        </w:rPr>
      </w:pPr>
      <w:r w:rsidRPr="00F12448">
        <w:rPr>
          <w:rFonts w:ascii="Arial" w:hAnsi="Arial"/>
          <w:b/>
          <w:sz w:val="22"/>
          <w:szCs w:val="22"/>
        </w:rPr>
        <w:t>Interpretation als Bruch:</w:t>
      </w:r>
      <w:r w:rsidRPr="00F12448">
        <w:rPr>
          <w:rFonts w:ascii="Arial" w:hAnsi="Arial"/>
          <w:sz w:val="22"/>
          <w:szCs w:val="22"/>
        </w:rPr>
        <w:t xml:space="preserve"> Zur Einführung in die Prozentrechnung kann der Prozentsatz und der Term </w:t>
      </w:r>
      <w:r w:rsidRPr="00F12448">
        <w:rPr>
          <w:rFonts w:ascii="Arial" w:hAnsi="Arial"/>
          <w:position w:val="-22"/>
          <w:sz w:val="22"/>
          <w:szCs w:val="22"/>
        </w:rPr>
        <w:object w:dxaOrig="279" w:dyaOrig="580">
          <v:shape id="_x0000_i1112" type="#_x0000_t75" style="width:13.55pt;height:28.5pt" o:ole="">
            <v:imagedata r:id="rId16" o:title=""/>
          </v:shape>
          <o:OLEObject Type="Embed" ProgID="Equation.DSMT4" ShapeID="_x0000_i1112" DrawAspect="Content" ObjectID="_1814856038" r:id="rId17"/>
        </w:object>
      </w:r>
      <w:r w:rsidRPr="00F12448">
        <w:rPr>
          <w:rFonts w:ascii="Arial" w:hAnsi="Arial"/>
          <w:sz w:val="22"/>
          <w:szCs w:val="22"/>
        </w:rPr>
        <w:t xml:space="preserve"> als Bruch interpretiert werden. Dieses Vorgehen bietet den Vorteil, dass an die Grundvorstellung zu Brüchen als Anteil von einem Ganzen angeknüpft werden kann. Sowohl der Prozentoperator </w:t>
      </w:r>
      <w:r w:rsidRPr="00F12448">
        <w:rPr>
          <w:rFonts w:ascii="Arial" w:hAnsi="Arial"/>
          <w:position w:val="-22"/>
          <w:sz w:val="22"/>
          <w:szCs w:val="22"/>
        </w:rPr>
        <w:object w:dxaOrig="460" w:dyaOrig="580">
          <v:shape id="_x0000_i1113" type="#_x0000_t75" style="width:22.8pt;height:28.5pt" o:ole="">
            <v:imagedata r:id="rId12" o:title=""/>
          </v:shape>
          <o:OLEObject Type="Embed" ProgID="Equation.DSMT4" ShapeID="_x0000_i1113" DrawAspect="Content" ObjectID="_1814856039" r:id="rId18"/>
        </w:object>
      </w:r>
      <w:r w:rsidRPr="00F12448">
        <w:rPr>
          <w:rFonts w:ascii="Arial" w:hAnsi="Arial"/>
          <w:sz w:val="22"/>
          <w:szCs w:val="22"/>
        </w:rPr>
        <w:t xml:space="preserve"> als auch Promilleangaben verstanden als Bruch </w:t>
      </w:r>
      <w:r w:rsidRPr="00F12448">
        <w:rPr>
          <w:rFonts w:ascii="Arial" w:hAnsi="Arial"/>
          <w:position w:val="-22"/>
          <w:sz w:val="22"/>
          <w:szCs w:val="22"/>
        </w:rPr>
        <w:object w:dxaOrig="580" w:dyaOrig="580">
          <v:shape id="_x0000_i1114" type="#_x0000_t75" style="width:28.5pt;height:28.5pt" o:ole="">
            <v:imagedata r:id="rId19" o:title=""/>
          </v:shape>
          <o:OLEObject Type="Embed" ProgID="Equation.DSMT4" ShapeID="_x0000_i1114" DrawAspect="Content" ObjectID="_1814856040" r:id="rId20"/>
        </w:object>
      </w:r>
      <w:r w:rsidRPr="00F12448">
        <w:rPr>
          <w:rFonts w:ascii="Arial" w:hAnsi="Arial"/>
          <w:sz w:val="22"/>
          <w:szCs w:val="22"/>
        </w:rPr>
        <w:t xml:space="preserve"> können leicht motiviert werden. Die Interpretation als Bruch erlaubt es außerdem die bereits bekannten Darstellungen von Brüchen wie etwas das Kreisdiagramm zu nutzen. Weiterhin ermöglicht die Interpretation als Bruch bei günstigen Zahlen eine schnelle Berechnung von Ergebnissen. Auch Näherungen, Rundungen und Überschläge sind mit diesem Ansatz gut zu realisieren (z. B. 49</w:t>
      </w:r>
      <w:r w:rsidRPr="00F12448">
        <w:rPr>
          <w:rFonts w:ascii="Arial" w:hAnsi="Arial"/>
          <w:w w:val="50"/>
          <w:sz w:val="22"/>
          <w:szCs w:val="22"/>
        </w:rPr>
        <w:t> </w:t>
      </w:r>
      <w:r w:rsidRPr="00F12448">
        <w:rPr>
          <w:rFonts w:ascii="Arial" w:hAnsi="Arial"/>
          <w:sz w:val="22"/>
          <w:szCs w:val="22"/>
        </w:rPr>
        <w:t xml:space="preserve">% von G ist etwa die Hälfte von G). Jedoch zeigen sich auch hier Nachteile. Nicht-ganzzahlige Prozentsätze wie 0,5 müssen entweder als Bruch mit einer Kommazahl im Zähler geschrieben werden (z. B. </w:t>
      </w:r>
      <w:r w:rsidRPr="00F12448">
        <w:rPr>
          <w:rFonts w:ascii="Arial" w:hAnsi="Arial"/>
          <w:position w:val="-22"/>
          <w:sz w:val="22"/>
          <w:szCs w:val="22"/>
        </w:rPr>
        <w:object w:dxaOrig="460" w:dyaOrig="580">
          <v:shape id="_x0000_i1115" type="#_x0000_t75" style="width:22.8pt;height:28.5pt" o:ole="">
            <v:imagedata r:id="rId21" o:title=""/>
          </v:shape>
          <o:OLEObject Type="Embed" ProgID="Equation.DSMT4" ShapeID="_x0000_i1115" DrawAspect="Content" ObjectID="_1814856041" r:id="rId22"/>
        </w:object>
      </w:r>
      <w:r w:rsidRPr="00F12448">
        <w:rPr>
          <w:rFonts w:ascii="Arial" w:hAnsi="Arial"/>
          <w:sz w:val="22"/>
          <w:szCs w:val="22"/>
        </w:rPr>
        <w:t xml:space="preserve">) oder verlangen, dass man den Nenner ändert (z. B. </w:t>
      </w:r>
      <w:r w:rsidRPr="00F12448">
        <w:rPr>
          <w:rFonts w:ascii="Arial" w:hAnsi="Arial"/>
          <w:position w:val="-22"/>
          <w:sz w:val="22"/>
          <w:szCs w:val="22"/>
        </w:rPr>
        <w:object w:dxaOrig="480" w:dyaOrig="580">
          <v:shape id="_x0000_i1116" type="#_x0000_t75" style="width:24.25pt;height:28.5pt" o:ole="">
            <v:imagedata r:id="rId23" o:title=""/>
          </v:shape>
          <o:OLEObject Type="Embed" ProgID="Equation.DSMT4" ShapeID="_x0000_i1116" DrawAspect="Content" ObjectID="_1814856042" r:id="rId24"/>
        </w:object>
      </w:r>
      <w:r w:rsidRPr="00F12448">
        <w:rPr>
          <w:rFonts w:ascii="Arial" w:hAnsi="Arial"/>
          <w:sz w:val="22"/>
          <w:szCs w:val="22"/>
        </w:rPr>
        <w:t>). Gerade durch die letzte Schreibweise wird die Vorstellung getrübt, dass ein Prozentsatz einem Bruch mit dem Nenner 100 gleicht. Aus der Sprache resultierende Schwierigkeiten treten bei der Interpretation als Bruch auf, wenn das Wort „von“ verwendet wird. Hier muss unterschieden werden, ob daraus eine Multiplikation folgt (z. B. 10</w:t>
      </w:r>
      <w:r w:rsidRPr="00F12448">
        <w:rPr>
          <w:rFonts w:ascii="Arial" w:hAnsi="Arial"/>
          <w:w w:val="50"/>
          <w:sz w:val="22"/>
          <w:szCs w:val="22"/>
        </w:rPr>
        <w:t> </w:t>
      </w:r>
      <w:r w:rsidRPr="00F12448">
        <w:rPr>
          <w:rFonts w:ascii="Arial" w:hAnsi="Arial"/>
          <w:sz w:val="22"/>
          <w:szCs w:val="22"/>
        </w:rPr>
        <w:t>% von 500</w:t>
      </w:r>
      <w:r w:rsidRPr="00F12448">
        <w:rPr>
          <w:rFonts w:ascii="Arial" w:hAnsi="Arial"/>
          <w:w w:val="50"/>
          <w:sz w:val="22"/>
          <w:szCs w:val="22"/>
        </w:rPr>
        <w:t> </w:t>
      </w:r>
      <w:r w:rsidRPr="00F12448">
        <w:rPr>
          <w:rFonts w:ascii="Arial" w:hAnsi="Arial"/>
          <w:sz w:val="22"/>
          <w:szCs w:val="22"/>
        </w:rPr>
        <w:t>€) oder eine Division (z. B. 50</w:t>
      </w:r>
      <w:r w:rsidRPr="00F12448">
        <w:rPr>
          <w:rFonts w:ascii="Arial" w:hAnsi="Arial"/>
          <w:w w:val="50"/>
          <w:sz w:val="22"/>
          <w:szCs w:val="22"/>
        </w:rPr>
        <w:t> </w:t>
      </w:r>
      <w:r w:rsidRPr="00F12448">
        <w:rPr>
          <w:rFonts w:ascii="Arial" w:hAnsi="Arial"/>
          <w:sz w:val="22"/>
          <w:szCs w:val="22"/>
        </w:rPr>
        <w:t>€ von 500). Etwaige Probleme treten an dieser Stelle vermutlich weniger stark in Erscheinung, wenn vorher die Sachsituation anhand der Begriffe Grundwert, Prozentsatz und Prozentwert geklärt worden ist.</w:t>
      </w:r>
    </w:p>
    <w:p w:rsidR="00F12448" w:rsidRPr="00F12448" w:rsidRDefault="00F12448" w:rsidP="00F12448">
      <w:pPr>
        <w:jc w:val="both"/>
        <w:rPr>
          <w:rFonts w:ascii="Arial" w:hAnsi="Arial"/>
          <w:sz w:val="22"/>
          <w:szCs w:val="22"/>
        </w:rPr>
      </w:pPr>
    </w:p>
    <w:p w:rsidR="00F12448" w:rsidRPr="00F12448" w:rsidRDefault="00F12448" w:rsidP="00F12448">
      <w:pPr>
        <w:jc w:val="both"/>
        <w:rPr>
          <w:rFonts w:ascii="Arial" w:hAnsi="Arial"/>
          <w:sz w:val="22"/>
          <w:szCs w:val="22"/>
        </w:rPr>
      </w:pPr>
      <w:r w:rsidRPr="00F12448">
        <w:rPr>
          <w:rFonts w:ascii="Arial" w:hAnsi="Arial"/>
          <w:b/>
          <w:sz w:val="22"/>
          <w:szCs w:val="22"/>
        </w:rPr>
        <w:t>Interpretation als Dezimalzahl:</w:t>
      </w:r>
      <w:r w:rsidRPr="00F12448">
        <w:rPr>
          <w:rFonts w:ascii="Arial" w:hAnsi="Arial"/>
          <w:sz w:val="22"/>
          <w:szCs w:val="22"/>
        </w:rPr>
        <w:t xml:space="preserve"> Prozentsätze lassen sich auch in Dezimalzahlen überführen. Bei diesem Ansatz fällt das Problem mit der Schreibweise von nicht-ganzzahligen Prozentsätzen weg. Die Vorteile beim schnellen Rechnen, bei Näherungen, Rundungen und Überschlägen, wie sie bereits bei der Interpretation als Bruch vorliegen, können auch hier geltend gemacht werden. Außerdem lassen sich Formulierungen wie „um 250</w:t>
      </w:r>
      <w:r w:rsidRPr="00F12448">
        <w:rPr>
          <w:rFonts w:ascii="Arial" w:hAnsi="Arial"/>
          <w:w w:val="50"/>
          <w:sz w:val="22"/>
          <w:szCs w:val="22"/>
        </w:rPr>
        <w:t> </w:t>
      </w:r>
      <w:r w:rsidRPr="00F12448">
        <w:rPr>
          <w:rFonts w:ascii="Arial" w:hAnsi="Arial"/>
          <w:sz w:val="22"/>
          <w:szCs w:val="22"/>
        </w:rPr>
        <w:t xml:space="preserve">% gestiegen“ leicht integrieren. Anders als beim Bruch, wo der Anteilsaspekt dominieren mag, stellt die Interpretation als Dezimalzahl hier keine Hürde auf. Ein weiterer Vorteil zeigt sich mit Blick </w:t>
      </w:r>
      <w:proofErr w:type="gramStart"/>
      <w:r w:rsidRPr="00F12448">
        <w:rPr>
          <w:rFonts w:ascii="Arial" w:hAnsi="Arial"/>
          <w:sz w:val="22"/>
          <w:szCs w:val="22"/>
        </w:rPr>
        <w:t>auf kommende</w:t>
      </w:r>
      <w:proofErr w:type="gramEnd"/>
      <w:r w:rsidRPr="00F12448">
        <w:rPr>
          <w:rFonts w:ascii="Arial" w:hAnsi="Arial"/>
          <w:sz w:val="22"/>
          <w:szCs w:val="22"/>
        </w:rPr>
        <w:t xml:space="preserve"> Klassenstufen bei der Einführung von exponentiellem Wachstum. Hier können Schülerinnen und Schüler die Schreibweise als Dezimalzahl im Funktionsterm nutzen. Ähnliche Schwierigkeiten wie bei der Interpretation als Bruch sind bei der Verwendung des Worts „von“ zu erwarten. Die vermutlich größte begriffliche Schwierigkeit besteht aber wohl darin, dass die Interpretation als Dezimalzahl zu der Annahme verleitet, dass Prozentsätze unabhängig von einem Grundwert genutzt werden könnten. Setzt man </w:t>
      </w:r>
      <w:r w:rsidRPr="00F12448">
        <w:rPr>
          <w:rFonts w:ascii="Arial" w:hAnsi="Arial"/>
          <w:sz w:val="22"/>
          <w:szCs w:val="22"/>
        </w:rPr>
        <w:lastRenderedPageBreak/>
        <w:t xml:space="preserve">Prozentsätze mit Dezimalzahlen in Beziehung, ohne darauf zu achten, dass jene stets auf einen Grundwert bezogen sein müssen, so wären Rechnungen wie </w:t>
      </w:r>
      <w:r w:rsidRPr="00F12448">
        <w:rPr>
          <w:rFonts w:ascii="Arial" w:hAnsi="Arial"/>
          <w:position w:val="-10"/>
          <w:sz w:val="22"/>
          <w:szCs w:val="22"/>
        </w:rPr>
        <w:object w:dxaOrig="1540" w:dyaOrig="320">
          <v:shape id="_x0000_i1117" type="#_x0000_t75" style="width:77pt;height:16.4pt" o:ole="">
            <v:imagedata r:id="rId25" o:title=""/>
          </v:shape>
          <o:OLEObject Type="Embed" ProgID="Equation.DSMT4" ShapeID="_x0000_i1117" DrawAspect="Content" ObjectID="_1814856043" r:id="rId26"/>
        </w:object>
      </w:r>
      <w:r w:rsidRPr="00F12448">
        <w:rPr>
          <w:rFonts w:ascii="Arial" w:hAnsi="Arial"/>
          <w:sz w:val="22"/>
          <w:szCs w:val="22"/>
        </w:rPr>
        <w:t xml:space="preserve"> oder </w:t>
      </w:r>
      <w:r w:rsidRPr="00F12448">
        <w:rPr>
          <w:rFonts w:ascii="Arial" w:hAnsi="Arial"/>
          <w:position w:val="-10"/>
          <w:sz w:val="22"/>
          <w:szCs w:val="22"/>
        </w:rPr>
        <w:object w:dxaOrig="1240" w:dyaOrig="320">
          <v:shape id="_x0000_i1118" type="#_x0000_t75" style="width:62pt;height:15.7pt" o:ole="">
            <v:imagedata r:id="rId27" o:title=""/>
          </v:shape>
          <o:OLEObject Type="Embed" ProgID="Equation.DSMT4" ShapeID="_x0000_i1118" DrawAspect="Content" ObjectID="_1814856044" r:id="rId28"/>
        </w:object>
      </w:r>
      <w:r w:rsidRPr="00F12448">
        <w:rPr>
          <w:rFonts w:ascii="Arial" w:hAnsi="Arial"/>
          <w:sz w:val="22"/>
          <w:szCs w:val="22"/>
        </w:rPr>
        <w:t xml:space="preserve"> plötzlich Teil der Prozentrechnung.</w:t>
      </w:r>
    </w:p>
    <w:p w:rsidR="00F12448" w:rsidRPr="00F12448" w:rsidRDefault="00F12448" w:rsidP="00F12448">
      <w:pPr>
        <w:jc w:val="both"/>
        <w:rPr>
          <w:rFonts w:ascii="Arial" w:hAnsi="Arial"/>
          <w:sz w:val="22"/>
          <w:szCs w:val="22"/>
        </w:rPr>
      </w:pPr>
    </w:p>
    <w:p w:rsidR="00F12448" w:rsidRPr="00F12448" w:rsidRDefault="00F12448" w:rsidP="00F12448">
      <w:pPr>
        <w:jc w:val="both"/>
        <w:rPr>
          <w:rFonts w:ascii="Arial" w:hAnsi="Arial"/>
          <w:sz w:val="22"/>
          <w:szCs w:val="22"/>
        </w:rPr>
      </w:pPr>
      <w:r w:rsidRPr="00F12448">
        <w:rPr>
          <w:rFonts w:ascii="Arial" w:hAnsi="Arial"/>
          <w:b/>
          <w:sz w:val="22"/>
          <w:szCs w:val="22"/>
        </w:rPr>
        <w:t>Interpretation als proportionale Zuordnung:</w:t>
      </w:r>
      <w:r w:rsidRPr="00F12448">
        <w:rPr>
          <w:rFonts w:ascii="Arial" w:hAnsi="Arial"/>
          <w:sz w:val="22"/>
          <w:szCs w:val="22"/>
        </w:rPr>
        <w:t xml:space="preserve"> Durch die Einführung der Prozentrechnung im Sinne einer proportionalen Zuordnung würde man die Prozentrechnung noch stärker als bei der Nutzung einer einheitlichen Formel an die Leitidee </w:t>
      </w:r>
      <w:r w:rsidRPr="00F12448">
        <w:rPr>
          <w:rFonts w:ascii="Arial" w:hAnsi="Arial"/>
          <w:i/>
          <w:sz w:val="22"/>
          <w:szCs w:val="22"/>
        </w:rPr>
        <w:t>funktionaler Zusammenhang</w:t>
      </w:r>
      <w:r w:rsidRPr="00F12448">
        <w:rPr>
          <w:rFonts w:ascii="Arial" w:hAnsi="Arial"/>
          <w:sz w:val="22"/>
          <w:szCs w:val="22"/>
        </w:rPr>
        <w:t xml:space="preserve"> (L4) anstatt an die Leitidee </w:t>
      </w:r>
      <w:r w:rsidRPr="00F12448">
        <w:rPr>
          <w:rFonts w:ascii="Arial" w:hAnsi="Arial"/>
          <w:i/>
          <w:sz w:val="22"/>
          <w:szCs w:val="22"/>
        </w:rPr>
        <w:t>Zahl</w:t>
      </w:r>
      <w:r w:rsidRPr="00F12448">
        <w:rPr>
          <w:rFonts w:ascii="Arial" w:hAnsi="Arial"/>
          <w:sz w:val="22"/>
          <w:szCs w:val="22"/>
        </w:rPr>
        <w:t> (L1) binden. Der Vorteil bei diesem Vorgehen liegt darin, dass an das Vorwissen zu proportionalen Zuordnungen angeknüpft werden kann. Übliche Darstellungen wie Tabellen und Funktionsgraphen können genutzt werden (siehe Tabelle 1). Will man den funktionalen Charakter betonen, wird über diese Darstellungsformen hinaus die Berechnung des Prozentwertes mithilfe eines Funktionsterms eingeführt. Möglich wäre aber auch, hier den Dreisatz zu bemühen (siehe Abbildung 1). Die Verwendung des Dreisatzes verlangsamt jedoch die Lösung von Prozentaufgaben erheblich. Insbesondere dann, wenn wie in dieser Aufgabe der Grundwert gewechselt wird und somit zweimal der Dreisatz angewendet werden muss. Die Prozentrechnung stärker an funktionale Zusammenhänge anzubinden birgt die Gefahr, dass die Prozentrechnung sehr formal erfasst wird und Prozentrechnung im Kopf in alltäglichen Situationen nicht geübt wird.</w:t>
      </w:r>
    </w:p>
    <w:p w:rsidR="00F12448" w:rsidRPr="00F12448" w:rsidRDefault="00F12448" w:rsidP="00F12448">
      <w:pPr>
        <w:rPr>
          <w:rFonts w:ascii="Arial" w:hAnsi="Arial"/>
          <w:sz w:val="18"/>
        </w:rPr>
      </w:pPr>
      <w:r w:rsidRPr="00F12448">
        <w:rPr>
          <w:rFonts w:ascii="Arial" w:hAnsi="Arial"/>
          <w:sz w:val="18"/>
        </w:rPr>
        <w:t xml:space="preserve"> </w:t>
      </w:r>
    </w:p>
    <w:p w:rsidR="00F12448" w:rsidRPr="00F12448" w:rsidRDefault="00F12448" w:rsidP="00F12448">
      <w:pPr>
        <w:rPr>
          <w:rFonts w:ascii="Arial" w:hAnsi="Arial"/>
          <w:bCs/>
          <w:i/>
          <w:sz w:val="20"/>
          <w:szCs w:val="20"/>
        </w:rPr>
      </w:pPr>
      <w:r w:rsidRPr="00F12448">
        <w:rPr>
          <w:rFonts w:ascii="Arial" w:hAnsi="Arial"/>
          <w:b/>
          <w:bCs/>
          <w:sz w:val="20"/>
          <w:szCs w:val="20"/>
        </w:rPr>
        <w:object w:dxaOrig="4076" w:dyaOrig="3336">
          <v:shape id="_x0000_i1119" type="#_x0000_t75" style="width:203.9pt;height:166.8pt" o:ole="">
            <v:imagedata r:id="rId29" o:title=""/>
          </v:shape>
          <o:OLEObject Type="Embed" ProgID="Visio.Drawing.11" ShapeID="_x0000_i1119" DrawAspect="Content" ObjectID="_1814856045" r:id="rId30"/>
        </w:object>
      </w:r>
    </w:p>
    <w:p w:rsidR="00F12448" w:rsidRPr="00F12448" w:rsidRDefault="00F12448" w:rsidP="00F12448">
      <w:pPr>
        <w:rPr>
          <w:rFonts w:ascii="Arial" w:hAnsi="Arial"/>
          <w:bCs/>
          <w:i/>
          <w:sz w:val="20"/>
          <w:szCs w:val="20"/>
        </w:rPr>
      </w:pPr>
      <w:r w:rsidRPr="00F12448">
        <w:rPr>
          <w:rFonts w:ascii="Arial" w:hAnsi="Arial"/>
          <w:bCs/>
          <w:i/>
          <w:sz w:val="20"/>
          <w:szCs w:val="20"/>
        </w:rPr>
        <w:t>Abbildung 1: Prozentrechnung</w:t>
      </w:r>
      <w:r w:rsidRPr="00F12448">
        <w:rPr>
          <w:rFonts w:ascii="Arial" w:hAnsi="Arial"/>
          <w:bCs/>
          <w:i/>
          <w:noProof/>
          <w:sz w:val="20"/>
          <w:szCs w:val="20"/>
        </w:rPr>
        <w:t xml:space="preserve"> als Proportionale Zuordnung</w:t>
      </w:r>
    </w:p>
    <w:p w:rsidR="00F12448" w:rsidRPr="00F12448" w:rsidRDefault="00F12448" w:rsidP="00F12448">
      <w:pPr>
        <w:rPr>
          <w:rFonts w:ascii="Arial" w:hAnsi="Arial"/>
          <w:sz w:val="18"/>
        </w:rPr>
      </w:pPr>
    </w:p>
    <w:p w:rsidR="00F12448" w:rsidRPr="00F12448" w:rsidRDefault="00F12448" w:rsidP="00F12448">
      <w:pPr>
        <w:rPr>
          <w:rFonts w:ascii="Arial" w:hAnsi="Arial"/>
          <w:sz w:val="18"/>
        </w:rPr>
      </w:pPr>
      <w:r w:rsidRPr="00F12448">
        <w:rPr>
          <w:rFonts w:ascii="Arial" w:hAnsi="Arial"/>
          <w:sz w:val="18"/>
        </w:rPr>
        <w:object w:dxaOrig="6877" w:dyaOrig="3022">
          <v:shape id="_x0000_i1120" type="#_x0000_t75" style="width:343.6pt;height:151.15pt" o:ole="">
            <v:imagedata r:id="rId31" o:title=""/>
          </v:shape>
          <o:OLEObject Type="Embed" ProgID="Visio.Drawing.11" ShapeID="_x0000_i1120" DrawAspect="Content" ObjectID="_1814856046" r:id="rId32"/>
        </w:object>
      </w:r>
    </w:p>
    <w:p w:rsidR="00F12448" w:rsidRPr="00F12448" w:rsidRDefault="00F12448" w:rsidP="00F12448">
      <w:pPr>
        <w:rPr>
          <w:rFonts w:ascii="Arial" w:hAnsi="Arial"/>
          <w:bCs/>
          <w:i/>
          <w:sz w:val="20"/>
          <w:szCs w:val="20"/>
        </w:rPr>
      </w:pPr>
      <w:r w:rsidRPr="00F12448">
        <w:rPr>
          <w:rFonts w:ascii="Arial" w:hAnsi="Arial"/>
          <w:bCs/>
          <w:i/>
          <w:sz w:val="20"/>
          <w:szCs w:val="20"/>
        </w:rPr>
        <w:t xml:space="preserve"> Tabelle </w:t>
      </w:r>
      <w:r w:rsidRPr="00F12448">
        <w:rPr>
          <w:rFonts w:ascii="Arial" w:hAnsi="Arial"/>
          <w:bCs/>
          <w:i/>
          <w:sz w:val="20"/>
          <w:szCs w:val="20"/>
        </w:rPr>
        <w:fldChar w:fldCharType="begin"/>
      </w:r>
      <w:r w:rsidRPr="00F12448">
        <w:rPr>
          <w:rFonts w:ascii="Arial" w:hAnsi="Arial"/>
          <w:bCs/>
          <w:i/>
          <w:sz w:val="20"/>
          <w:szCs w:val="20"/>
        </w:rPr>
        <w:instrText xml:space="preserve"> SEQ Abbildung \* ARABIC </w:instrText>
      </w:r>
      <w:r w:rsidRPr="00F12448">
        <w:rPr>
          <w:rFonts w:ascii="Arial" w:hAnsi="Arial"/>
          <w:bCs/>
          <w:i/>
          <w:sz w:val="20"/>
          <w:szCs w:val="20"/>
        </w:rPr>
        <w:fldChar w:fldCharType="separate"/>
      </w:r>
      <w:r w:rsidRPr="00F12448">
        <w:rPr>
          <w:rFonts w:ascii="Arial" w:hAnsi="Arial"/>
          <w:bCs/>
          <w:i/>
          <w:noProof/>
          <w:sz w:val="20"/>
          <w:szCs w:val="20"/>
        </w:rPr>
        <w:t>1</w:t>
      </w:r>
      <w:r w:rsidRPr="00F12448">
        <w:rPr>
          <w:rFonts w:ascii="Arial" w:hAnsi="Arial"/>
          <w:bCs/>
          <w:i/>
          <w:noProof/>
          <w:sz w:val="20"/>
          <w:szCs w:val="20"/>
        </w:rPr>
        <w:fldChar w:fldCharType="end"/>
      </w:r>
      <w:r w:rsidRPr="00F12448">
        <w:rPr>
          <w:rFonts w:ascii="Arial" w:hAnsi="Arial"/>
          <w:bCs/>
          <w:i/>
          <w:sz w:val="20"/>
          <w:szCs w:val="20"/>
        </w:rPr>
        <w:t xml:space="preserve">: Prozentrechnung als Spezialfall des Dreisatzes </w:t>
      </w:r>
    </w:p>
    <w:p w:rsidR="00694A63" w:rsidRPr="005B2F65" w:rsidRDefault="00694A63" w:rsidP="00F12448">
      <w:pPr>
        <w:suppressLineNumbers/>
        <w:suppressAutoHyphens/>
        <w:spacing w:line="320" w:lineRule="atLeast"/>
        <w:jc w:val="both"/>
        <w:rPr>
          <w:sz w:val="22"/>
          <w:szCs w:val="22"/>
        </w:rPr>
      </w:pPr>
      <w:bookmarkStart w:id="0" w:name="_GoBack"/>
      <w:bookmarkEnd w:id="0"/>
    </w:p>
    <w:sectPr w:rsidR="00694A63" w:rsidRPr="005B2F65" w:rsidSect="00DB65DC">
      <w:headerReference w:type="even" r:id="rId33"/>
      <w:headerReference w:type="default" r:id="rId34"/>
      <w:footerReference w:type="even" r:id="rId35"/>
      <w:footerReference w:type="default" r:id="rId36"/>
      <w:headerReference w:type="first" r:id="rId37"/>
      <w:footerReference w:type="first" r:id="rId38"/>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C84B8DCE-AE58-400A-AC68-1140F11FD87A}"/>
    <w:embedBold r:id="rId2" w:fontKey="{95358AFC-CB3F-4DF6-80FE-D574E7D2FF11}"/>
    <w:embedItalic r:id="rId3" w:fontKey="{227FC1CA-4EC5-4B53-885E-0805D517C90D}"/>
    <w:embedBoldItalic r:id="rId4" w:fontKey="{209532EC-F417-44C4-AD8A-B69B278B8BA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593"/>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72EB6"/>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12448"/>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fontTable" Target="fontTable.xml"/><Relationship Id="rId21" Type="http://schemas.openxmlformats.org/officeDocument/2006/relationships/image" Target="media/image7.wmf"/><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7.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Microsoft_Visio_Drawing1.vsd"/><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footer" Target="footer2.xml"/><Relationship Id="rId10" Type="http://schemas.openxmlformats.org/officeDocument/2006/relationships/image" Target="media/image2.wmf"/><Relationship Id="rId19" Type="http://schemas.openxmlformats.org/officeDocument/2006/relationships/image" Target="media/image6.wmf"/><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8.bin"/><Relationship Id="rId27" Type="http://schemas.openxmlformats.org/officeDocument/2006/relationships/image" Target="media/image10.wmf"/><Relationship Id="rId30" Type="http://schemas.openxmlformats.org/officeDocument/2006/relationships/oleObject" Target="embeddings/Microsoft_Visio_Drawing.vsd"/><Relationship Id="rId35" Type="http://schemas.openxmlformats.org/officeDocument/2006/relationships/footer" Target="footer1.xml"/><Relationship Id="rId8" Type="http://schemas.openxmlformats.org/officeDocument/2006/relationships/image" Target="media/image1.wmf"/><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701E0-FC16-4F99-B0AF-67BB38994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1215</Words>
  <Characters>8309</Characters>
  <Application>Microsoft Office Word</Application>
  <DocSecurity>0</DocSecurity>
  <Lines>136</Lines>
  <Paragraphs>46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9478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2025-07-24T07:54:00Z</dcterms:created>
  <dcterms:modified xsi:type="dcterms:W3CDTF">2025-07-24T07:54:00Z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